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DC90" w14:textId="42958AF0" w:rsidR="00FD672A" w:rsidRDefault="007616D9">
      <w:pPr>
        <w:rPr>
          <w:rFonts w:ascii="Times New Roman" w:hAnsi="Times New Roman" w:cs="Times New Roman"/>
        </w:rPr>
      </w:pPr>
      <w:bookmarkStart w:id="0" w:name="_GoBack"/>
      <w:bookmarkEnd w:id="0"/>
      <w:r w:rsidRPr="00D82B18">
        <w:rPr>
          <w:rFonts w:ascii="Times New Roman" w:hAnsi="Times New Roman" w:cs="Times New Roman"/>
        </w:rPr>
        <w:t>Dear Healthcare Partner</w:t>
      </w:r>
      <w:r w:rsidR="007A378E">
        <w:rPr>
          <w:rFonts w:ascii="Times New Roman" w:hAnsi="Times New Roman" w:cs="Times New Roman"/>
        </w:rPr>
        <w:t>:</w:t>
      </w:r>
    </w:p>
    <w:p w14:paraId="7DFFE576" w14:textId="77777777" w:rsidR="007E4C97" w:rsidRPr="00D82B18" w:rsidRDefault="007E4C97">
      <w:pPr>
        <w:rPr>
          <w:rFonts w:ascii="Times New Roman" w:hAnsi="Times New Roman" w:cs="Times New Roman"/>
        </w:rPr>
      </w:pPr>
    </w:p>
    <w:p w14:paraId="4D10D632" w14:textId="42AD1B7E" w:rsidR="007616D9" w:rsidRPr="00D82B18" w:rsidRDefault="007616D9" w:rsidP="0094261C">
      <w:pPr>
        <w:jc w:val="both"/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 xml:space="preserve">Although there is much controversy regarding the use of opioids for chronic pain management, the same is not true for the management of severe acute pain with opioid analgesics.  </w:t>
      </w:r>
      <w:r w:rsidR="007A378E">
        <w:rPr>
          <w:rFonts w:ascii="Times New Roman" w:hAnsi="Times New Roman" w:cs="Times New Roman"/>
        </w:rPr>
        <w:t>T</w:t>
      </w:r>
      <w:r w:rsidRPr="00D82B18">
        <w:rPr>
          <w:rFonts w:ascii="Times New Roman" w:hAnsi="Times New Roman" w:cs="Times New Roman"/>
        </w:rPr>
        <w:t>he Centers for Disease Control</w:t>
      </w:r>
      <w:r w:rsidR="007A378E">
        <w:rPr>
          <w:rFonts w:ascii="Times New Roman" w:hAnsi="Times New Roman" w:cs="Times New Roman"/>
        </w:rPr>
        <w:t xml:space="preserve"> and Prevention</w:t>
      </w:r>
      <w:r w:rsidRPr="00D82B18">
        <w:rPr>
          <w:rFonts w:ascii="Times New Roman" w:hAnsi="Times New Roman" w:cs="Times New Roman"/>
        </w:rPr>
        <w:t xml:space="preserve"> (CDC) </w:t>
      </w:r>
      <w:r w:rsidR="007A378E">
        <w:rPr>
          <w:rFonts w:ascii="Times New Roman" w:hAnsi="Times New Roman" w:cs="Times New Roman"/>
        </w:rPr>
        <w:t>specifically advised against</w:t>
      </w:r>
      <w:r w:rsidR="00837A1F" w:rsidRPr="00D82B18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>misapplication</w:t>
      </w:r>
      <w:r w:rsidR="00837A1F" w:rsidRPr="00D82B18">
        <w:rPr>
          <w:rFonts w:ascii="Times New Roman" w:hAnsi="Times New Roman" w:cs="Times New Roman"/>
        </w:rPr>
        <w:t>s</w:t>
      </w:r>
      <w:r w:rsidRPr="00D82B18">
        <w:rPr>
          <w:rFonts w:ascii="Times New Roman" w:hAnsi="Times New Roman" w:cs="Times New Roman"/>
        </w:rPr>
        <w:t xml:space="preserve"> of the 2016 </w:t>
      </w:r>
      <w:r w:rsidR="007A378E">
        <w:rPr>
          <w:rFonts w:ascii="Times New Roman" w:hAnsi="Times New Roman" w:cs="Times New Roman"/>
        </w:rPr>
        <w:t>CDC G</w:t>
      </w:r>
      <w:r w:rsidRPr="00D82B18">
        <w:rPr>
          <w:rFonts w:ascii="Times New Roman" w:hAnsi="Times New Roman" w:cs="Times New Roman"/>
        </w:rPr>
        <w:t>uideline</w:t>
      </w:r>
      <w:r w:rsidR="007A378E">
        <w:rPr>
          <w:rFonts w:ascii="Times New Roman" w:hAnsi="Times New Roman" w:cs="Times New Roman"/>
        </w:rPr>
        <w:t xml:space="preserve"> for Prescribing Opioids for Chronic Pain (Guideline).</w:t>
      </w:r>
      <w:r w:rsidRPr="00D82B18">
        <w:rPr>
          <w:rFonts w:ascii="Times New Roman" w:hAnsi="Times New Roman" w:cs="Times New Roman"/>
        </w:rPr>
        <w:t xml:space="preserve"> </w:t>
      </w:r>
      <w:r w:rsidR="007A378E">
        <w:rPr>
          <w:rFonts w:ascii="Times New Roman" w:hAnsi="Times New Roman" w:cs="Times New Roman"/>
        </w:rPr>
        <w:t xml:space="preserve"> Misapplication of the Guideline for</w:t>
      </w:r>
      <w:r w:rsidRPr="00D82B18">
        <w:rPr>
          <w:rFonts w:ascii="Times New Roman" w:hAnsi="Times New Roman" w:cs="Times New Roman"/>
        </w:rPr>
        <w:t xml:space="preserve"> </w:t>
      </w:r>
      <w:r w:rsidR="00D82B18" w:rsidRPr="00D82B18">
        <w:rPr>
          <w:rFonts w:ascii="Times New Roman" w:hAnsi="Times New Roman" w:cs="Times New Roman"/>
        </w:rPr>
        <w:t xml:space="preserve">opioid </w:t>
      </w:r>
      <w:r w:rsidR="00837A1F" w:rsidRPr="00D82B18">
        <w:rPr>
          <w:rFonts w:ascii="Times New Roman" w:hAnsi="Times New Roman" w:cs="Times New Roman"/>
        </w:rPr>
        <w:t>prescribing</w:t>
      </w:r>
      <w:r w:rsidRPr="00D82B18">
        <w:rPr>
          <w:rFonts w:ascii="Times New Roman" w:hAnsi="Times New Roman" w:cs="Times New Roman"/>
        </w:rPr>
        <w:t xml:space="preserve"> </w:t>
      </w:r>
      <w:r w:rsidR="00D82B18" w:rsidRPr="00D82B18">
        <w:rPr>
          <w:rFonts w:ascii="Times New Roman" w:hAnsi="Times New Roman" w:cs="Times New Roman"/>
        </w:rPr>
        <w:t>can result in</w:t>
      </w:r>
      <w:r w:rsidR="00E80F49" w:rsidRPr="00D82B18">
        <w:rPr>
          <w:rFonts w:ascii="Times New Roman" w:hAnsi="Times New Roman" w:cs="Times New Roman"/>
        </w:rPr>
        <w:t xml:space="preserve"> </w:t>
      </w:r>
      <w:r w:rsidR="00837A1F" w:rsidRPr="00D82B18">
        <w:rPr>
          <w:rFonts w:ascii="Times New Roman" w:hAnsi="Times New Roman" w:cs="Times New Roman"/>
        </w:rPr>
        <w:t>health</w:t>
      </w:r>
      <w:r w:rsidR="00D54993" w:rsidRPr="00D82B18">
        <w:rPr>
          <w:rFonts w:ascii="Times New Roman" w:hAnsi="Times New Roman" w:cs="Times New Roman"/>
        </w:rPr>
        <w:t xml:space="preserve"> risks</w:t>
      </w:r>
      <w:r w:rsidR="00837A1F" w:rsidRPr="00D82B18">
        <w:rPr>
          <w:rFonts w:ascii="Times New Roman" w:hAnsi="Times New Roman" w:cs="Times New Roman"/>
        </w:rPr>
        <w:t xml:space="preserve"> and safety </w:t>
      </w:r>
      <w:r w:rsidR="00E114D8" w:rsidRPr="00D82B18">
        <w:rPr>
          <w:rFonts w:ascii="Times New Roman" w:hAnsi="Times New Roman" w:cs="Times New Roman"/>
        </w:rPr>
        <w:t xml:space="preserve">issues </w:t>
      </w:r>
      <w:r w:rsidR="00837A1F" w:rsidRPr="00D82B18">
        <w:rPr>
          <w:rFonts w:ascii="Times New Roman" w:hAnsi="Times New Roman" w:cs="Times New Roman"/>
        </w:rPr>
        <w:t>such as</w:t>
      </w:r>
      <w:r w:rsidRPr="00D82B18">
        <w:rPr>
          <w:rFonts w:ascii="Times New Roman" w:hAnsi="Times New Roman" w:cs="Times New Roman"/>
        </w:rPr>
        <w:t xml:space="preserve"> “applying the Guideline to patients in active cancer treatment, patients experiencing acute sickle cell crises, or patients experiencing post-surgical pain.”</w:t>
      </w:r>
      <w:r w:rsidRPr="00D82B18">
        <w:rPr>
          <w:rStyle w:val="FootnoteReference"/>
          <w:rFonts w:ascii="Times New Roman" w:hAnsi="Times New Roman" w:cs="Times New Roman"/>
        </w:rPr>
        <w:footnoteReference w:id="1"/>
      </w:r>
      <w:r w:rsidRPr="00D82B18">
        <w:rPr>
          <w:rFonts w:ascii="Times New Roman" w:hAnsi="Times New Roman" w:cs="Times New Roman"/>
        </w:rPr>
        <w:t xml:space="preserve">  </w:t>
      </w:r>
      <w:r w:rsidR="007E4C97">
        <w:rPr>
          <w:rFonts w:ascii="Times New Roman" w:hAnsi="Times New Roman" w:cs="Times New Roman"/>
        </w:rPr>
        <w:t>P</w:t>
      </w:r>
      <w:r w:rsidR="007E4C97" w:rsidRPr="00D82B18">
        <w:rPr>
          <w:rFonts w:ascii="Times New Roman" w:hAnsi="Times New Roman" w:cs="Times New Roman"/>
        </w:rPr>
        <w:t xml:space="preserve">rudent prescribing </w:t>
      </w:r>
      <w:r w:rsidR="007E4C97">
        <w:rPr>
          <w:rFonts w:ascii="Times New Roman" w:hAnsi="Times New Roman" w:cs="Times New Roman"/>
        </w:rPr>
        <w:t>of opioids rather than outright renouncing</w:t>
      </w:r>
      <w:r w:rsidR="006E7D2C">
        <w:rPr>
          <w:rFonts w:ascii="Times New Roman" w:hAnsi="Times New Roman" w:cs="Times New Roman"/>
        </w:rPr>
        <w:t xml:space="preserve"> of the treatment option</w:t>
      </w:r>
      <w:r w:rsidR="007E4C97">
        <w:rPr>
          <w:rFonts w:ascii="Times New Roman" w:hAnsi="Times New Roman" w:cs="Times New Roman"/>
        </w:rPr>
        <w:t xml:space="preserve"> </w:t>
      </w:r>
      <w:r w:rsidR="007E4C97" w:rsidRPr="00D82B18">
        <w:rPr>
          <w:rFonts w:ascii="Times New Roman" w:hAnsi="Times New Roman" w:cs="Times New Roman"/>
        </w:rPr>
        <w:t xml:space="preserve">is warranted in the context of limited use during an acute pain episode. </w:t>
      </w:r>
      <w:r w:rsidR="007E4C97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 </w:t>
      </w:r>
    </w:p>
    <w:p w14:paraId="31C8682A" w14:textId="01C020B5" w:rsidR="00415D05" w:rsidRPr="00D82B18" w:rsidRDefault="00837A1F" w:rsidP="0094261C">
      <w:pPr>
        <w:jc w:val="both"/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 xml:space="preserve">Patients taking buprenorphine for Opioid Use Disorder </w:t>
      </w:r>
      <w:r w:rsidR="00415D05" w:rsidRPr="00D82B18">
        <w:rPr>
          <w:rFonts w:ascii="Times New Roman" w:hAnsi="Times New Roman" w:cs="Times New Roman"/>
        </w:rPr>
        <w:t xml:space="preserve">(OUD) </w:t>
      </w:r>
      <w:r w:rsidRPr="00D82B18">
        <w:rPr>
          <w:rFonts w:ascii="Times New Roman" w:hAnsi="Times New Roman" w:cs="Times New Roman"/>
        </w:rPr>
        <w:t xml:space="preserve">present a challenging clinical </w:t>
      </w:r>
      <w:r w:rsidR="00415D05" w:rsidRPr="00D82B18">
        <w:rPr>
          <w:rFonts w:ascii="Times New Roman" w:hAnsi="Times New Roman" w:cs="Times New Roman"/>
        </w:rPr>
        <w:t>scenario</w:t>
      </w:r>
      <w:r w:rsidRPr="00D82B18">
        <w:rPr>
          <w:rFonts w:ascii="Times New Roman" w:hAnsi="Times New Roman" w:cs="Times New Roman"/>
        </w:rPr>
        <w:t xml:space="preserve"> when there is an acute pain episode</w:t>
      </w:r>
      <w:r w:rsidR="005867D9">
        <w:rPr>
          <w:rFonts w:ascii="Times New Roman" w:hAnsi="Times New Roman" w:cs="Times New Roman"/>
        </w:rPr>
        <w:t>;</w:t>
      </w:r>
      <w:r w:rsidRPr="00D82B18">
        <w:rPr>
          <w:rFonts w:ascii="Times New Roman" w:hAnsi="Times New Roman" w:cs="Times New Roman"/>
        </w:rPr>
        <w:t xml:space="preserve"> </w:t>
      </w:r>
      <w:r w:rsidR="005867D9">
        <w:rPr>
          <w:rFonts w:ascii="Times New Roman" w:hAnsi="Times New Roman" w:cs="Times New Roman"/>
        </w:rPr>
        <w:t>h</w:t>
      </w:r>
      <w:r w:rsidRPr="00D82B18">
        <w:rPr>
          <w:rFonts w:ascii="Times New Roman" w:hAnsi="Times New Roman" w:cs="Times New Roman"/>
        </w:rPr>
        <w:t>owever, there is not a recommendation to</w:t>
      </w:r>
      <w:r w:rsidR="00415D05" w:rsidRPr="00D82B18">
        <w:rPr>
          <w:rFonts w:ascii="Times New Roman" w:hAnsi="Times New Roman" w:cs="Times New Roman"/>
        </w:rPr>
        <w:t xml:space="preserve"> withhold </w:t>
      </w:r>
      <w:r w:rsidRPr="00D82B18">
        <w:rPr>
          <w:rFonts w:ascii="Times New Roman" w:hAnsi="Times New Roman" w:cs="Times New Roman"/>
        </w:rPr>
        <w:t xml:space="preserve">opioids when there is </w:t>
      </w:r>
      <w:r w:rsidR="00E80F49" w:rsidRPr="00D82B18">
        <w:rPr>
          <w:rFonts w:ascii="Times New Roman" w:hAnsi="Times New Roman" w:cs="Times New Roman"/>
        </w:rPr>
        <w:t xml:space="preserve">a </w:t>
      </w:r>
      <w:r w:rsidRPr="00D82B18">
        <w:rPr>
          <w:rFonts w:ascii="Times New Roman" w:hAnsi="Times New Roman" w:cs="Times New Roman"/>
        </w:rPr>
        <w:t>clear indication</w:t>
      </w:r>
      <w:r w:rsidR="00415D05" w:rsidRPr="00D82B18">
        <w:rPr>
          <w:rFonts w:ascii="Times New Roman" w:hAnsi="Times New Roman" w:cs="Times New Roman"/>
        </w:rPr>
        <w:t xml:space="preserve"> for use during</w:t>
      </w:r>
      <w:r w:rsidRPr="00D82B18">
        <w:rPr>
          <w:rFonts w:ascii="Times New Roman" w:hAnsi="Times New Roman" w:cs="Times New Roman"/>
        </w:rPr>
        <w:t xml:space="preserve"> acute pain treatment.  In</w:t>
      </w:r>
      <w:r w:rsidRPr="00D82B18">
        <w:rPr>
          <w:rFonts w:ascii="Times New Roman" w:hAnsi="Times New Roman" w:cs="Times New Roman"/>
          <w:color w:val="000000" w:themeColor="text1"/>
        </w:rPr>
        <w:t xml:space="preserve"> </w:t>
      </w:r>
      <w:r w:rsidR="00415D05" w:rsidRPr="00D82B18">
        <w:rPr>
          <w:rFonts w:ascii="Times New Roman" w:hAnsi="Times New Roman" w:cs="Times New Roman"/>
          <w:color w:val="000000" w:themeColor="text1"/>
        </w:rPr>
        <w:t>fact</w:t>
      </w:r>
      <w:r w:rsidR="00415D05" w:rsidRPr="00D82B18">
        <w:rPr>
          <w:rFonts w:ascii="Times New Roman" w:hAnsi="Times New Roman" w:cs="Times New Roman"/>
        </w:rPr>
        <w:t>,</w:t>
      </w:r>
      <w:r w:rsidR="00D82B18">
        <w:rPr>
          <w:rFonts w:ascii="Times New Roman" w:hAnsi="Times New Roman" w:cs="Times New Roman"/>
        </w:rPr>
        <w:t xml:space="preserve"> </w:t>
      </w:r>
      <w:r w:rsidR="00D82B18" w:rsidRPr="00D82B18">
        <w:rPr>
          <w:rFonts w:ascii="Times New Roman" w:hAnsi="Times New Roman" w:cs="Times New Roman"/>
        </w:rPr>
        <w:t>regarding acute post-operative pain management</w:t>
      </w:r>
      <w:r w:rsidR="005867D9">
        <w:rPr>
          <w:rFonts w:ascii="Times New Roman" w:hAnsi="Times New Roman" w:cs="Times New Roman"/>
        </w:rPr>
        <w:t>,</w:t>
      </w:r>
      <w:r w:rsidR="00DE041A" w:rsidRPr="00D82B18">
        <w:rPr>
          <w:rFonts w:ascii="Times New Roman" w:hAnsi="Times New Roman" w:cs="Times New Roman"/>
        </w:rPr>
        <w:t xml:space="preserve"> the Substance Abuse and Mental Health Services Administration (SAMHSA)</w:t>
      </w:r>
      <w:r w:rsidR="005867D9">
        <w:rPr>
          <w:rFonts w:ascii="Times New Roman" w:hAnsi="Times New Roman" w:cs="Times New Roman"/>
        </w:rPr>
        <w:t>,</w:t>
      </w:r>
      <w:r w:rsidR="00D82B18">
        <w:rPr>
          <w:rFonts w:ascii="Times New Roman" w:hAnsi="Times New Roman" w:cs="Times New Roman"/>
        </w:rPr>
        <w:t xml:space="preserve"> in its </w:t>
      </w:r>
      <w:r w:rsidR="00D82B18" w:rsidRPr="00D82B18">
        <w:rPr>
          <w:rFonts w:ascii="Times New Roman" w:hAnsi="Times New Roman" w:cs="Times New Roman"/>
        </w:rPr>
        <w:t>Treatment Improvement Protocol</w:t>
      </w:r>
      <w:r w:rsidR="00D82B18">
        <w:rPr>
          <w:rFonts w:ascii="Times New Roman" w:hAnsi="Times New Roman" w:cs="Times New Roman"/>
        </w:rPr>
        <w:t xml:space="preserve"> (</w:t>
      </w:r>
      <w:r w:rsidR="00DE041A" w:rsidRPr="00D82B18">
        <w:rPr>
          <w:rFonts w:ascii="Times New Roman" w:hAnsi="Times New Roman" w:cs="Times New Roman"/>
        </w:rPr>
        <w:t>TIP</w:t>
      </w:r>
      <w:r w:rsidR="00D82B18">
        <w:rPr>
          <w:rFonts w:ascii="Times New Roman" w:hAnsi="Times New Roman" w:cs="Times New Roman"/>
        </w:rPr>
        <w:t>)</w:t>
      </w:r>
      <w:r w:rsidR="00DE041A" w:rsidRPr="00D82B18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63 </w:t>
      </w:r>
      <w:r w:rsidR="00D82B18">
        <w:rPr>
          <w:rFonts w:ascii="Times New Roman" w:hAnsi="Times New Roman" w:cs="Times New Roman"/>
        </w:rPr>
        <w:t>manual for medication assisted treatment of OUD</w:t>
      </w:r>
      <w:r w:rsidR="005867D9">
        <w:rPr>
          <w:rFonts w:ascii="Times New Roman" w:hAnsi="Times New Roman" w:cs="Times New Roman"/>
        </w:rPr>
        <w:t>,</w:t>
      </w:r>
      <w:r w:rsidR="00D82B18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states, “Most patients can continue buprenorphine through the operative period. </w:t>
      </w:r>
      <w:r w:rsidR="00E60CF2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>Treat postoperative pain with regional anesthesia, nonopioid pain management, or full agonist</w:t>
      </w:r>
      <w:r w:rsidR="00415D05" w:rsidRPr="00D82B18">
        <w:rPr>
          <w:rFonts w:ascii="Times New Roman" w:hAnsi="Times New Roman" w:cs="Times New Roman"/>
        </w:rPr>
        <w:t xml:space="preserve"> opioids. </w:t>
      </w:r>
      <w:r w:rsidR="00E60CF2">
        <w:rPr>
          <w:rFonts w:ascii="Times New Roman" w:hAnsi="Times New Roman" w:cs="Times New Roman"/>
        </w:rPr>
        <w:t xml:space="preserve"> </w:t>
      </w:r>
      <w:r w:rsidR="00415D05" w:rsidRPr="00D82B18">
        <w:rPr>
          <w:rFonts w:ascii="Times New Roman" w:hAnsi="Times New Roman" w:cs="Times New Roman"/>
        </w:rPr>
        <w:t>Remember that higher doses are likely to be necessary.”</w:t>
      </w:r>
      <w:r w:rsidR="00415D05" w:rsidRPr="00D82B18">
        <w:rPr>
          <w:rStyle w:val="FootnoteReference"/>
          <w:rFonts w:ascii="Times New Roman" w:hAnsi="Times New Roman" w:cs="Times New Roman"/>
        </w:rPr>
        <w:footnoteReference w:id="2"/>
      </w:r>
      <w:r w:rsidR="00415D05" w:rsidRPr="00D82B18">
        <w:rPr>
          <w:rFonts w:ascii="Times New Roman" w:hAnsi="Times New Roman" w:cs="Times New Roman"/>
        </w:rPr>
        <w:t xml:space="preserve"> </w:t>
      </w:r>
    </w:p>
    <w:p w14:paraId="3F8212B6" w14:textId="4C010EB9" w:rsidR="00837A1F" w:rsidRPr="00D82B18" w:rsidRDefault="00ED60FD" w:rsidP="0094261C">
      <w:pPr>
        <w:jc w:val="both"/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>Likewise, the recommendations of a Perioperative Pain and Addiction Interdisciplinary Network (PAIN) clinical practice advisory</w:t>
      </w:r>
      <w:r w:rsidR="00415D05" w:rsidRPr="00D82B18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>in 2019 concluded, “The major recommendation of this practice advisory is to continue buprenorphine therapy in the perioperative period</w:t>
      </w:r>
      <w:r w:rsidR="00E114D8" w:rsidRPr="00D82B18">
        <w:rPr>
          <w:rFonts w:ascii="Times New Roman" w:hAnsi="Times New Roman" w:cs="Times New Roman"/>
        </w:rPr>
        <w:t>. . .</w:t>
      </w:r>
      <w:r w:rsidRPr="00D82B18">
        <w:rPr>
          <w:rFonts w:ascii="Times New Roman" w:hAnsi="Times New Roman" w:cs="Times New Roman"/>
        </w:rPr>
        <w:t xml:space="preserve"> Patients should ideally be discharged on buprenorphine, although not necessarily at their preoperative dose. Depending on analgesic requirements they may be discharged on a full mu agonist.”</w:t>
      </w:r>
      <w:r w:rsidRPr="00D82B18">
        <w:rPr>
          <w:rStyle w:val="FootnoteReference"/>
          <w:rFonts w:ascii="Times New Roman" w:hAnsi="Times New Roman" w:cs="Times New Roman"/>
        </w:rPr>
        <w:footnoteReference w:id="3"/>
      </w:r>
    </w:p>
    <w:p w14:paraId="32525FC9" w14:textId="1863F42C" w:rsidR="00E80F49" w:rsidRPr="00D82B18" w:rsidRDefault="008A090A" w:rsidP="0094261C">
      <w:pPr>
        <w:jc w:val="both"/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 xml:space="preserve">The appropriate treatment of acute pain with opioids during agonist treatment </w:t>
      </w:r>
      <w:r w:rsidR="00E114D8" w:rsidRPr="00D82B18">
        <w:rPr>
          <w:rFonts w:ascii="Times New Roman" w:hAnsi="Times New Roman" w:cs="Times New Roman"/>
        </w:rPr>
        <w:t xml:space="preserve">with medications like </w:t>
      </w:r>
      <w:r w:rsidRPr="00D82B18">
        <w:rPr>
          <w:rFonts w:ascii="Times New Roman" w:hAnsi="Times New Roman" w:cs="Times New Roman"/>
        </w:rPr>
        <w:t xml:space="preserve">buprenorphine for OUD is </w:t>
      </w:r>
      <w:r w:rsidR="00D82B18">
        <w:rPr>
          <w:rFonts w:ascii="Times New Roman" w:hAnsi="Times New Roman" w:cs="Times New Roman"/>
        </w:rPr>
        <w:t xml:space="preserve">also </w:t>
      </w:r>
      <w:r w:rsidRPr="00D82B18">
        <w:rPr>
          <w:rFonts w:ascii="Times New Roman" w:hAnsi="Times New Roman" w:cs="Times New Roman"/>
        </w:rPr>
        <w:t xml:space="preserve">described in the </w:t>
      </w:r>
      <w:r w:rsidR="00E114D8" w:rsidRPr="00D82B18">
        <w:rPr>
          <w:rFonts w:ascii="Times New Roman" w:hAnsi="Times New Roman" w:cs="Times New Roman"/>
        </w:rPr>
        <w:t>6</w:t>
      </w:r>
      <w:r w:rsidR="00E114D8" w:rsidRPr="00D82B18">
        <w:rPr>
          <w:rFonts w:ascii="Times New Roman" w:hAnsi="Times New Roman" w:cs="Times New Roman"/>
          <w:vertAlign w:val="superscript"/>
        </w:rPr>
        <w:t>th</w:t>
      </w:r>
      <w:r w:rsidR="00E114D8" w:rsidRPr="00D82B18">
        <w:rPr>
          <w:rFonts w:ascii="Times New Roman" w:hAnsi="Times New Roman" w:cs="Times New Roman"/>
        </w:rPr>
        <w:t xml:space="preserve"> edition of the </w:t>
      </w:r>
      <w:r w:rsidRPr="00D82B18">
        <w:rPr>
          <w:rFonts w:ascii="Times New Roman" w:hAnsi="Times New Roman" w:cs="Times New Roman"/>
        </w:rPr>
        <w:t>American Society of Addiction Medicine</w:t>
      </w:r>
      <w:r w:rsidR="00E114D8" w:rsidRPr="00D82B18">
        <w:rPr>
          <w:rFonts w:ascii="Times New Roman" w:hAnsi="Times New Roman" w:cs="Times New Roman"/>
        </w:rPr>
        <w:t xml:space="preserve"> (ASAM)</w:t>
      </w:r>
      <w:r w:rsidRPr="00D82B18">
        <w:rPr>
          <w:rFonts w:ascii="Times New Roman" w:hAnsi="Times New Roman" w:cs="Times New Roman"/>
        </w:rPr>
        <w:t xml:space="preserve"> </w:t>
      </w:r>
      <w:r w:rsidR="00D82B18">
        <w:rPr>
          <w:rFonts w:ascii="Times New Roman" w:hAnsi="Times New Roman" w:cs="Times New Roman"/>
        </w:rPr>
        <w:t xml:space="preserve">Principles of Addiction Medicine </w:t>
      </w:r>
      <w:r w:rsidRPr="00D82B18">
        <w:rPr>
          <w:rFonts w:ascii="Times New Roman" w:hAnsi="Times New Roman" w:cs="Times New Roman"/>
        </w:rPr>
        <w:t>as follows</w:t>
      </w:r>
      <w:r w:rsidR="00BC753B">
        <w:rPr>
          <w:rFonts w:ascii="Times New Roman" w:hAnsi="Times New Roman" w:cs="Times New Roman"/>
        </w:rPr>
        <w:t>,</w:t>
      </w:r>
      <w:r w:rsidRPr="00D82B18">
        <w:rPr>
          <w:rFonts w:ascii="Times New Roman" w:hAnsi="Times New Roman" w:cs="Times New Roman"/>
        </w:rPr>
        <w:t xml:space="preserve"> “The appropriate treatment of acute pain in these patients includes uninterrupted OAT [Opioid Agonist Treatment] to address the patient’s baseline opioid requirement for addiction treatment and aggressive pain management. </w:t>
      </w:r>
      <w:r w:rsidR="00BC753B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As with all patients suffering acute pain, nonopioid analgesics should be aggressively implemented first-line. </w:t>
      </w:r>
      <w:r w:rsidR="00BC753B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However, severe acute pain will often require opioid analgesics. </w:t>
      </w:r>
      <w:r w:rsidR="00BC753B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>Continuing the usual dose of OAT avoids worsening pain symptoms because of the increased pain sensitivity associated with opioid withdraw</w:t>
      </w:r>
      <w:r w:rsidR="00D54993" w:rsidRPr="00D82B18">
        <w:rPr>
          <w:rFonts w:ascii="Times New Roman" w:hAnsi="Times New Roman" w:cs="Times New Roman"/>
        </w:rPr>
        <w:t>al</w:t>
      </w:r>
      <w:r w:rsidR="00BA608C">
        <w:rPr>
          <w:rFonts w:ascii="Times New Roman" w:hAnsi="Times New Roman" w:cs="Times New Roman"/>
        </w:rPr>
        <w:t xml:space="preserve">.  </w:t>
      </w:r>
      <w:r w:rsidR="00BC753B">
        <w:rPr>
          <w:rFonts w:ascii="Times New Roman" w:hAnsi="Times New Roman" w:cs="Times New Roman"/>
        </w:rPr>
        <w:t>.</w:t>
      </w:r>
      <w:r w:rsidR="006E7D2C">
        <w:rPr>
          <w:rFonts w:ascii="Times New Roman" w:hAnsi="Times New Roman" w:cs="Times New Roman"/>
        </w:rPr>
        <w:t xml:space="preserve"> . .</w:t>
      </w:r>
      <w:r w:rsidR="00BA608C">
        <w:rPr>
          <w:rFonts w:ascii="Times New Roman" w:hAnsi="Times New Roman" w:cs="Times New Roman"/>
        </w:rPr>
        <w:t>.</w:t>
      </w:r>
      <w:r w:rsidR="006E7D2C">
        <w:rPr>
          <w:rFonts w:ascii="Times New Roman" w:hAnsi="Times New Roman" w:cs="Times New Roman"/>
        </w:rPr>
        <w:t xml:space="preserve"> </w:t>
      </w:r>
      <w:r w:rsidR="00BA608C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Preclinical and clinical studies now suggest that concurrent use of opioid analgesics in patients maintained on buprenorphine is effective. </w:t>
      </w:r>
      <w:r w:rsidR="00D27A69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To decrease anxiety, patients should be reassured that their opioid use disorder treatment will </w:t>
      </w:r>
      <w:r w:rsidRPr="00D82B18">
        <w:rPr>
          <w:rFonts w:ascii="Times New Roman" w:hAnsi="Times New Roman" w:cs="Times New Roman"/>
        </w:rPr>
        <w:lastRenderedPageBreak/>
        <w:t xml:space="preserve">continue and their pain will be aggressively treated. </w:t>
      </w:r>
      <w:r w:rsidR="00D27A69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>Because of cross-tolerance with OAT, adequate pain control will generally necessitate higher opioid doses at shorter intervals.”</w:t>
      </w:r>
      <w:r w:rsidRPr="00D82B18">
        <w:rPr>
          <w:rStyle w:val="FootnoteReference"/>
          <w:rFonts w:ascii="Times New Roman" w:hAnsi="Times New Roman" w:cs="Times New Roman"/>
        </w:rPr>
        <w:footnoteReference w:id="4"/>
      </w:r>
    </w:p>
    <w:p w14:paraId="3C66BF63" w14:textId="2CB0763A" w:rsidR="008A090A" w:rsidRPr="00D82B18" w:rsidRDefault="008A090A" w:rsidP="0094261C">
      <w:pPr>
        <w:jc w:val="both"/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>This concept of using a full agonist opioid for analgesic treatment of acute pain during treatment of a patient on buprenorphine for OUD may seem contrary to clinical intuition and safe prescribing practice</w:t>
      </w:r>
      <w:r w:rsidR="00D54993" w:rsidRPr="00D82B18">
        <w:rPr>
          <w:rFonts w:ascii="Times New Roman" w:hAnsi="Times New Roman" w:cs="Times New Roman"/>
        </w:rPr>
        <w:t>s</w:t>
      </w:r>
      <w:r w:rsidR="00D27A69">
        <w:rPr>
          <w:rFonts w:ascii="Times New Roman" w:hAnsi="Times New Roman" w:cs="Times New Roman"/>
        </w:rPr>
        <w:t>,</w:t>
      </w:r>
      <w:r w:rsidR="00E114D8" w:rsidRPr="00D82B18">
        <w:rPr>
          <w:rFonts w:ascii="Times New Roman" w:hAnsi="Times New Roman" w:cs="Times New Roman"/>
        </w:rPr>
        <w:t xml:space="preserve"> </w:t>
      </w:r>
      <w:r w:rsidRPr="00D82B18">
        <w:rPr>
          <w:rFonts w:ascii="Times New Roman" w:hAnsi="Times New Roman" w:cs="Times New Roman"/>
        </w:rPr>
        <w:t xml:space="preserve">but opioids for acute pain management are in fact considered appropriate when indicated during medication assisted treatment for OUD with buprenorphine. </w:t>
      </w:r>
      <w:r w:rsidR="00D27A69">
        <w:rPr>
          <w:rFonts w:ascii="Times New Roman" w:hAnsi="Times New Roman" w:cs="Times New Roman"/>
        </w:rPr>
        <w:t xml:space="preserve"> </w:t>
      </w:r>
      <w:r w:rsidR="00E114D8" w:rsidRPr="00D82B18">
        <w:rPr>
          <w:rFonts w:ascii="Times New Roman" w:hAnsi="Times New Roman" w:cs="Times New Roman"/>
        </w:rPr>
        <w:t xml:space="preserve">As the provider in charge of </w:t>
      </w:r>
      <w:r w:rsidR="00D82B18">
        <w:rPr>
          <w:rFonts w:ascii="Times New Roman" w:hAnsi="Times New Roman" w:cs="Times New Roman"/>
        </w:rPr>
        <w:t xml:space="preserve">securing the standard of </w:t>
      </w:r>
      <w:r w:rsidR="00E114D8" w:rsidRPr="00D82B18">
        <w:rPr>
          <w:rFonts w:ascii="Times New Roman" w:hAnsi="Times New Roman" w:cs="Times New Roman"/>
        </w:rPr>
        <w:t>care</w:t>
      </w:r>
      <w:r w:rsidR="00D82B18">
        <w:rPr>
          <w:rFonts w:ascii="Times New Roman" w:hAnsi="Times New Roman" w:cs="Times New Roman"/>
        </w:rPr>
        <w:t xml:space="preserve"> for my patient</w:t>
      </w:r>
      <w:r w:rsidR="00E114D8" w:rsidRPr="00D82B18">
        <w:rPr>
          <w:rFonts w:ascii="Times New Roman" w:hAnsi="Times New Roman" w:cs="Times New Roman"/>
        </w:rPr>
        <w:t xml:space="preserve">, I am making a formal yet urgent request that </w:t>
      </w:r>
      <w:r w:rsidR="00D82B18">
        <w:rPr>
          <w:rFonts w:ascii="Times New Roman" w:hAnsi="Times New Roman" w:cs="Times New Roman"/>
        </w:rPr>
        <w:t>my</w:t>
      </w:r>
      <w:r w:rsidR="00E114D8" w:rsidRPr="00D82B18">
        <w:rPr>
          <w:rFonts w:ascii="Times New Roman" w:hAnsi="Times New Roman" w:cs="Times New Roman"/>
        </w:rPr>
        <w:t xml:space="preserve"> patient gain access to opioid pain medication for acute pain management as it is appropriately </w:t>
      </w:r>
      <w:r w:rsidR="00D54993" w:rsidRPr="00D82B18">
        <w:rPr>
          <w:rFonts w:ascii="Times New Roman" w:hAnsi="Times New Roman" w:cs="Times New Roman"/>
        </w:rPr>
        <w:t xml:space="preserve">supported and </w:t>
      </w:r>
      <w:r w:rsidR="00E114D8" w:rsidRPr="00D82B18">
        <w:rPr>
          <w:rFonts w:ascii="Times New Roman" w:hAnsi="Times New Roman" w:cs="Times New Roman"/>
        </w:rPr>
        <w:t xml:space="preserve">outlined in </w:t>
      </w:r>
      <w:r w:rsidR="00D54993" w:rsidRPr="00D82B18">
        <w:rPr>
          <w:rFonts w:ascii="Times New Roman" w:hAnsi="Times New Roman" w:cs="Times New Roman"/>
        </w:rPr>
        <w:t xml:space="preserve">the </w:t>
      </w:r>
      <w:r w:rsidR="00E114D8" w:rsidRPr="00D82B18">
        <w:rPr>
          <w:rFonts w:ascii="Times New Roman" w:hAnsi="Times New Roman" w:cs="Times New Roman"/>
        </w:rPr>
        <w:t>guidelines</w:t>
      </w:r>
      <w:r w:rsidR="00D54993" w:rsidRPr="00D82B18">
        <w:rPr>
          <w:rFonts w:ascii="Times New Roman" w:hAnsi="Times New Roman" w:cs="Times New Roman"/>
        </w:rPr>
        <w:t xml:space="preserve"> provided</w:t>
      </w:r>
      <w:r w:rsidR="00E114D8" w:rsidRPr="00D82B18">
        <w:rPr>
          <w:rFonts w:ascii="Times New Roman" w:hAnsi="Times New Roman" w:cs="Times New Roman"/>
        </w:rPr>
        <w:t>.</w:t>
      </w:r>
    </w:p>
    <w:p w14:paraId="0816B6AC" w14:textId="77777777" w:rsidR="008A090A" w:rsidRPr="00D82B18" w:rsidRDefault="008A090A" w:rsidP="008A090A">
      <w:pPr>
        <w:rPr>
          <w:rFonts w:ascii="Times New Roman" w:hAnsi="Times New Roman" w:cs="Times New Roman"/>
        </w:rPr>
      </w:pPr>
    </w:p>
    <w:p w14:paraId="3EDEA70C" w14:textId="2D90372E" w:rsidR="00AB1E31" w:rsidRDefault="00D82B18" w:rsidP="008A0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_________________</w:t>
      </w:r>
      <w:r w:rsidR="00DA5AB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DOB___________________</w:t>
      </w:r>
      <w:r w:rsidR="00DA5AB0">
        <w:rPr>
          <w:rFonts w:ascii="Times New Roman" w:hAnsi="Times New Roman" w:cs="Times New Roman"/>
        </w:rPr>
        <w:t>_</w:t>
      </w:r>
    </w:p>
    <w:p w14:paraId="2E2C47A1" w14:textId="77777777" w:rsidR="00AB1E31" w:rsidRDefault="00AB1E31" w:rsidP="008A090A">
      <w:pPr>
        <w:rPr>
          <w:rFonts w:ascii="Times New Roman" w:hAnsi="Times New Roman" w:cs="Times New Roman"/>
        </w:rPr>
      </w:pPr>
    </w:p>
    <w:p w14:paraId="1FC7C64F" w14:textId="5CD0FF8B" w:rsidR="008A090A" w:rsidRDefault="008A090A" w:rsidP="008A090A">
      <w:pPr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>order for ___________________________</w:t>
      </w:r>
      <w:r w:rsidR="00DA5AB0">
        <w:rPr>
          <w:rFonts w:ascii="Times New Roman" w:hAnsi="Times New Roman" w:cs="Times New Roman"/>
        </w:rPr>
        <w:t>_______________</w:t>
      </w:r>
      <w:r w:rsidRPr="00D82B18">
        <w:rPr>
          <w:rFonts w:ascii="Times New Roman" w:hAnsi="Times New Roman" w:cs="Times New Roman"/>
        </w:rPr>
        <w:t xml:space="preserve">is for the acute pain indication </w:t>
      </w:r>
    </w:p>
    <w:p w14:paraId="5F73F1F2" w14:textId="77777777" w:rsidR="00AB1E31" w:rsidRPr="00D82B18" w:rsidRDefault="00AB1E31" w:rsidP="008A090A">
      <w:pPr>
        <w:rPr>
          <w:rFonts w:ascii="Times New Roman" w:hAnsi="Times New Roman" w:cs="Times New Roman"/>
        </w:rPr>
      </w:pPr>
    </w:p>
    <w:p w14:paraId="20220157" w14:textId="77777777" w:rsidR="00AB1E31" w:rsidRDefault="008A090A" w:rsidP="008A090A">
      <w:pPr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>_____________________ and is in my clinical assessment necessary for</w:t>
      </w:r>
      <w:r w:rsidR="00CC7949" w:rsidRPr="00D82B18">
        <w:rPr>
          <w:rFonts w:ascii="Times New Roman" w:hAnsi="Times New Roman" w:cs="Times New Roman"/>
        </w:rPr>
        <w:t xml:space="preserve"> effective</w:t>
      </w:r>
      <w:r w:rsidRPr="00D82B18">
        <w:rPr>
          <w:rFonts w:ascii="Times New Roman" w:hAnsi="Times New Roman" w:cs="Times New Roman"/>
        </w:rPr>
        <w:t xml:space="preserve"> </w:t>
      </w:r>
      <w:r w:rsidR="00CC7949" w:rsidRPr="00D82B18">
        <w:rPr>
          <w:rFonts w:ascii="Times New Roman" w:hAnsi="Times New Roman" w:cs="Times New Roman"/>
        </w:rPr>
        <w:t xml:space="preserve">management.  </w:t>
      </w:r>
    </w:p>
    <w:p w14:paraId="5B8556AD" w14:textId="77777777" w:rsidR="00AB1E31" w:rsidRDefault="00AB1E31" w:rsidP="008A090A">
      <w:pPr>
        <w:rPr>
          <w:rFonts w:ascii="Times New Roman" w:hAnsi="Times New Roman" w:cs="Times New Roman"/>
        </w:rPr>
      </w:pPr>
    </w:p>
    <w:p w14:paraId="7A7EA31A" w14:textId="3C5DB022" w:rsidR="008A090A" w:rsidRPr="00D82B18" w:rsidRDefault="00CC7949" w:rsidP="0094261C">
      <w:pPr>
        <w:jc w:val="both"/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>This letter is to advocate for access to</w:t>
      </w:r>
      <w:r w:rsidR="00AB1E31">
        <w:rPr>
          <w:rFonts w:ascii="Times New Roman" w:hAnsi="Times New Roman" w:cs="Times New Roman"/>
        </w:rPr>
        <w:t xml:space="preserve"> the standard of care and</w:t>
      </w:r>
      <w:r w:rsidRPr="00D82B18">
        <w:rPr>
          <w:rFonts w:ascii="Times New Roman" w:hAnsi="Times New Roman" w:cs="Times New Roman"/>
        </w:rPr>
        <w:t xml:space="preserve"> appropriate treatment for my patient</w:t>
      </w:r>
      <w:r w:rsidR="00AB1E31">
        <w:rPr>
          <w:rFonts w:ascii="Times New Roman" w:hAnsi="Times New Roman" w:cs="Times New Roman"/>
        </w:rPr>
        <w:t xml:space="preserve"> experiencing an episode of acute pain during buprenorphine treatment for OUD</w:t>
      </w:r>
      <w:r w:rsidRPr="00D82B18">
        <w:rPr>
          <w:rFonts w:ascii="Times New Roman" w:hAnsi="Times New Roman" w:cs="Times New Roman"/>
        </w:rPr>
        <w:t>.</w:t>
      </w:r>
      <w:r w:rsidR="00AB1E31">
        <w:rPr>
          <w:rFonts w:ascii="Times New Roman" w:hAnsi="Times New Roman" w:cs="Times New Roman"/>
        </w:rPr>
        <w:t xml:space="preserve"> </w:t>
      </w:r>
      <w:r w:rsidR="00D27A69">
        <w:rPr>
          <w:rFonts w:ascii="Times New Roman" w:hAnsi="Times New Roman" w:cs="Times New Roman"/>
        </w:rPr>
        <w:t xml:space="preserve"> </w:t>
      </w:r>
      <w:r w:rsidR="00AB1E31">
        <w:rPr>
          <w:rFonts w:ascii="Times New Roman" w:hAnsi="Times New Roman" w:cs="Times New Roman"/>
        </w:rPr>
        <w:t xml:space="preserve">Thank you for your timely and careful consideration. </w:t>
      </w:r>
      <w:r w:rsidR="00D27A69">
        <w:rPr>
          <w:rFonts w:ascii="Times New Roman" w:hAnsi="Times New Roman" w:cs="Times New Roman"/>
        </w:rPr>
        <w:t xml:space="preserve"> </w:t>
      </w:r>
      <w:r w:rsidR="00AB1E31">
        <w:rPr>
          <w:rFonts w:ascii="Times New Roman" w:hAnsi="Times New Roman" w:cs="Times New Roman"/>
        </w:rPr>
        <w:t>Please feel free to contact me to discuss the situation directly if needed for my patient to access care.</w:t>
      </w:r>
    </w:p>
    <w:p w14:paraId="1370E5D1" w14:textId="6D2D454F" w:rsidR="00CC7949" w:rsidRPr="00D82B18" w:rsidRDefault="00CC7949" w:rsidP="008A090A">
      <w:pPr>
        <w:rPr>
          <w:rFonts w:ascii="Times New Roman" w:hAnsi="Times New Roman" w:cs="Times New Roman"/>
        </w:rPr>
      </w:pPr>
    </w:p>
    <w:p w14:paraId="7CC8E55A" w14:textId="25FB3C63" w:rsidR="00CC7949" w:rsidRPr="00D82B18" w:rsidRDefault="00CC7949" w:rsidP="008A090A">
      <w:pPr>
        <w:rPr>
          <w:rFonts w:ascii="Times New Roman" w:hAnsi="Times New Roman" w:cs="Times New Roman"/>
        </w:rPr>
      </w:pPr>
      <w:r w:rsidRPr="00D82B18">
        <w:rPr>
          <w:rFonts w:ascii="Times New Roman" w:hAnsi="Times New Roman" w:cs="Times New Roman"/>
        </w:rPr>
        <w:t>Sincerely,</w:t>
      </w:r>
    </w:p>
    <w:p w14:paraId="77A04622" w14:textId="77777777" w:rsidR="008A090A" w:rsidRDefault="008A090A"/>
    <w:sectPr w:rsidR="008A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FA28" w14:textId="77777777" w:rsidR="003B0DB8" w:rsidRDefault="003B0DB8" w:rsidP="007616D9">
      <w:pPr>
        <w:spacing w:after="0" w:line="240" w:lineRule="auto"/>
      </w:pPr>
      <w:r>
        <w:separator/>
      </w:r>
    </w:p>
  </w:endnote>
  <w:endnote w:type="continuationSeparator" w:id="0">
    <w:p w14:paraId="1357C715" w14:textId="77777777" w:rsidR="003B0DB8" w:rsidRDefault="003B0DB8" w:rsidP="0076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1A52" w14:textId="77777777" w:rsidR="003B0DB8" w:rsidRDefault="003B0DB8" w:rsidP="007616D9">
      <w:pPr>
        <w:spacing w:after="0" w:line="240" w:lineRule="auto"/>
      </w:pPr>
      <w:r>
        <w:separator/>
      </w:r>
    </w:p>
  </w:footnote>
  <w:footnote w:type="continuationSeparator" w:id="0">
    <w:p w14:paraId="0D7AF3F5" w14:textId="77777777" w:rsidR="003B0DB8" w:rsidRDefault="003B0DB8" w:rsidP="007616D9">
      <w:pPr>
        <w:spacing w:after="0" w:line="240" w:lineRule="auto"/>
      </w:pPr>
      <w:r>
        <w:continuationSeparator/>
      </w:r>
    </w:p>
  </w:footnote>
  <w:footnote w:id="1">
    <w:p w14:paraId="0219E596" w14:textId="38E6FAD3" w:rsidR="007616D9" w:rsidRPr="00ED60FD" w:rsidRDefault="007616D9">
      <w:pPr>
        <w:pStyle w:val="FootnoteText"/>
        <w:rPr>
          <w:rFonts w:ascii="Times New Roman" w:hAnsi="Times New Roman" w:cs="Times New Roman"/>
        </w:rPr>
      </w:pPr>
      <w:r w:rsidRPr="00ED60FD">
        <w:rPr>
          <w:rStyle w:val="FootnoteReference"/>
          <w:rFonts w:ascii="Times New Roman" w:hAnsi="Times New Roman" w:cs="Times New Roman"/>
        </w:rPr>
        <w:footnoteRef/>
      </w:r>
      <w:r w:rsidRPr="00ED60FD">
        <w:rPr>
          <w:rFonts w:ascii="Times New Roman" w:hAnsi="Times New Roman" w:cs="Times New Roman"/>
        </w:rPr>
        <w:t xml:space="preserve"> </w:t>
      </w:r>
      <w:r w:rsidR="00837A1F" w:rsidRPr="00837A1F">
        <w:rPr>
          <w:rFonts w:ascii="Times New Roman" w:hAnsi="Times New Roman" w:cs="Times New Roman"/>
        </w:rPr>
        <w:t xml:space="preserve">Centers for Disease Control and Prevention (CDC). CDC Advises against Misapplication of the </w:t>
      </w:r>
      <w:r w:rsidR="00837A1F" w:rsidRPr="00837A1F">
        <w:rPr>
          <w:rFonts w:ascii="Times New Roman" w:hAnsi="Times New Roman" w:cs="Times New Roman"/>
          <w:i/>
          <w:iCs/>
        </w:rPr>
        <w:t>Guideline for Prescribing Opioids for Chronic Pain</w:t>
      </w:r>
      <w:r w:rsidR="00837A1F" w:rsidRPr="00837A1F">
        <w:rPr>
          <w:rFonts w:ascii="Times New Roman" w:hAnsi="Times New Roman" w:cs="Times New Roman"/>
        </w:rPr>
        <w:t xml:space="preserve">. </w:t>
      </w:r>
      <w:r w:rsidR="00D65B2B">
        <w:rPr>
          <w:rFonts w:ascii="Times New Roman" w:hAnsi="Times New Roman" w:cs="Times New Roman"/>
          <w:i/>
        </w:rPr>
        <w:t>CDC</w:t>
      </w:r>
      <w:r w:rsidR="00D65B2B">
        <w:rPr>
          <w:rFonts w:ascii="Times New Roman" w:hAnsi="Times New Roman" w:cs="Times New Roman"/>
        </w:rPr>
        <w:t xml:space="preserve">. </w:t>
      </w:r>
      <w:r w:rsidR="00837A1F" w:rsidRPr="00837A1F">
        <w:rPr>
          <w:rFonts w:ascii="Times New Roman" w:hAnsi="Times New Roman" w:cs="Times New Roman"/>
        </w:rPr>
        <w:t xml:space="preserve">2019. </w:t>
      </w:r>
      <w:hyperlink r:id="rId1" w:history="1">
        <w:r w:rsidR="00837A1F" w:rsidRPr="00837A1F">
          <w:rPr>
            <w:rStyle w:val="Hyperlink"/>
            <w:rFonts w:ascii="Times New Roman" w:hAnsi="Times New Roman" w:cs="Times New Roman"/>
          </w:rPr>
          <w:t>https://www.cdc.gov/media/releases/2019/s0424-advises-misapplication-guideline-prescribing-opioids.html</w:t>
        </w:r>
      </w:hyperlink>
      <w:r w:rsidR="00837A1F" w:rsidRPr="00837A1F">
        <w:rPr>
          <w:rFonts w:ascii="Times New Roman" w:hAnsi="Times New Roman" w:cs="Times New Roman"/>
        </w:rPr>
        <w:t xml:space="preserve">. Accessed October </w:t>
      </w:r>
      <w:r w:rsidR="00D65B2B">
        <w:rPr>
          <w:rFonts w:ascii="Times New Roman" w:hAnsi="Times New Roman" w:cs="Times New Roman"/>
        </w:rPr>
        <w:t>31</w:t>
      </w:r>
      <w:r w:rsidR="00837A1F" w:rsidRPr="00837A1F">
        <w:rPr>
          <w:rFonts w:ascii="Times New Roman" w:hAnsi="Times New Roman" w:cs="Times New Roman"/>
        </w:rPr>
        <w:t>, 2021.</w:t>
      </w:r>
    </w:p>
  </w:footnote>
  <w:footnote w:id="2">
    <w:p w14:paraId="6CE0BCBB" w14:textId="61F3E4F2" w:rsidR="00415D05" w:rsidRPr="00ED60FD" w:rsidRDefault="00415D05">
      <w:pPr>
        <w:pStyle w:val="FootnoteText"/>
        <w:rPr>
          <w:rFonts w:ascii="Times New Roman" w:hAnsi="Times New Roman" w:cs="Times New Roman"/>
        </w:rPr>
      </w:pPr>
      <w:r w:rsidRPr="00ED60FD">
        <w:rPr>
          <w:rStyle w:val="FootnoteReference"/>
          <w:rFonts w:ascii="Times New Roman" w:hAnsi="Times New Roman" w:cs="Times New Roman"/>
        </w:rPr>
        <w:footnoteRef/>
      </w:r>
      <w:r w:rsidRPr="00ED60FD">
        <w:rPr>
          <w:rFonts w:ascii="Times New Roman" w:hAnsi="Times New Roman" w:cs="Times New Roman"/>
        </w:rPr>
        <w:t xml:space="preserve"> SAMHSA. Treatment Improvement Protocol TIP 63: Medications for Opioid Use Disorder. </w:t>
      </w:r>
      <w:hyperlink r:id="rId2" w:history="1">
        <w:r w:rsidR="00204912" w:rsidRPr="003E1E84">
          <w:rPr>
            <w:rStyle w:val="Hyperlink"/>
            <w:rFonts w:ascii="Times New Roman" w:hAnsi="Times New Roman" w:cs="Times New Roman"/>
          </w:rPr>
          <w:t>https://store.samhsa.gov/sites/default/files/SAMHSA_Digital_Download/PEP21-02-01-002.pdf</w:t>
        </w:r>
      </w:hyperlink>
      <w:r w:rsidR="00204912">
        <w:rPr>
          <w:rFonts w:ascii="Times New Roman" w:hAnsi="Times New Roman" w:cs="Times New Roman"/>
        </w:rPr>
        <w:t xml:space="preserve"> 3-105 (emphasis removed)</w:t>
      </w:r>
      <w:r w:rsidRPr="00ED60FD">
        <w:rPr>
          <w:rFonts w:ascii="Times New Roman" w:hAnsi="Times New Roman" w:cs="Times New Roman"/>
        </w:rPr>
        <w:t xml:space="preserve">. Updated 2021.  Accessed October </w:t>
      </w:r>
      <w:r w:rsidR="005867D9">
        <w:rPr>
          <w:rFonts w:ascii="Times New Roman" w:hAnsi="Times New Roman" w:cs="Times New Roman"/>
        </w:rPr>
        <w:t>31</w:t>
      </w:r>
      <w:r w:rsidRPr="00ED60FD">
        <w:rPr>
          <w:rFonts w:ascii="Times New Roman" w:hAnsi="Times New Roman" w:cs="Times New Roman"/>
        </w:rPr>
        <w:t>, 2021.</w:t>
      </w:r>
    </w:p>
  </w:footnote>
  <w:footnote w:id="3">
    <w:p w14:paraId="2B0BB619" w14:textId="0AD95A37" w:rsidR="00ED60FD" w:rsidRDefault="00ED60FD">
      <w:pPr>
        <w:pStyle w:val="FootnoteText"/>
      </w:pPr>
      <w:r w:rsidRPr="00ED60FD">
        <w:rPr>
          <w:rStyle w:val="FootnoteReference"/>
          <w:rFonts w:ascii="Times New Roman" w:hAnsi="Times New Roman" w:cs="Times New Roman"/>
        </w:rPr>
        <w:footnoteRef/>
      </w:r>
      <w:r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color w:val="212121"/>
          <w:shd w:val="clear" w:color="auto" w:fill="FFFFFF"/>
        </w:rPr>
        <w:t xml:space="preserve">Goel A, Azargive S, Weissman JS. Perioperative Pain and Addiction Interdisciplinary Network (PAIN) clinical practice advisory for perioperative management of buprenorphine: results of a modified Delphi process. </w:t>
      </w:r>
      <w:r w:rsidRPr="0035689E">
        <w:rPr>
          <w:rFonts w:ascii="Times New Roman" w:hAnsi="Times New Roman" w:cs="Times New Roman"/>
          <w:i/>
          <w:color w:val="212121"/>
          <w:shd w:val="clear" w:color="auto" w:fill="FFFFFF"/>
        </w:rPr>
        <w:t>Br J Anaesth</w:t>
      </w:r>
      <w:r w:rsidRPr="00ED60FD">
        <w:rPr>
          <w:rFonts w:ascii="Times New Roman" w:hAnsi="Times New Roman" w:cs="Times New Roman"/>
          <w:color w:val="212121"/>
          <w:shd w:val="clear" w:color="auto" w:fill="FFFFFF"/>
        </w:rPr>
        <w:t>. 2019 Aug;123(2):e333-e342. doi: 10.1016/j.bja.2019.03.044.</w:t>
      </w:r>
    </w:p>
  </w:footnote>
  <w:footnote w:id="4">
    <w:p w14:paraId="6D7CF3E8" w14:textId="574044B3" w:rsidR="008A090A" w:rsidRDefault="008A090A">
      <w:pPr>
        <w:pStyle w:val="FootnoteText"/>
      </w:pPr>
      <w:r w:rsidRPr="0094261C">
        <w:rPr>
          <w:rStyle w:val="FootnoteReference"/>
          <w:rFonts w:ascii="Times New Roman" w:hAnsi="Times New Roman" w:cs="Times New Roman"/>
        </w:rPr>
        <w:footnoteRef/>
      </w:r>
      <w:r w:rsidRPr="0094261C">
        <w:rPr>
          <w:rFonts w:ascii="Times New Roman" w:hAnsi="Times New Roman" w:cs="Times New Roman"/>
        </w:rPr>
        <w:t xml:space="preserve"> Miller SC, Fiellin DA, Rosenthal RN, Saitz R. </w:t>
      </w:r>
      <w:r w:rsidRPr="0094261C">
        <w:rPr>
          <w:rFonts w:ascii="Times New Roman" w:hAnsi="Times New Roman" w:cs="Times New Roman"/>
          <w:i/>
          <w:iCs/>
        </w:rPr>
        <w:t>The ASAM Principles of Addiction Medicine</w:t>
      </w:r>
      <w:r w:rsidRPr="0094261C">
        <w:rPr>
          <w:rFonts w:ascii="Times New Roman" w:hAnsi="Times New Roman" w:cs="Times New Roman"/>
        </w:rPr>
        <w:t>. 6</w:t>
      </w:r>
      <w:r w:rsidRPr="0094261C">
        <w:rPr>
          <w:rFonts w:ascii="Times New Roman" w:hAnsi="Times New Roman" w:cs="Times New Roman"/>
          <w:vertAlign w:val="superscript"/>
        </w:rPr>
        <w:t>th</w:t>
      </w:r>
      <w:r w:rsidRPr="0094261C">
        <w:rPr>
          <w:rFonts w:ascii="Times New Roman" w:hAnsi="Times New Roman" w:cs="Times New Roman"/>
        </w:rPr>
        <w:t xml:space="preserve"> ed. Philadelphia, PA: Wolters Kluwer; 2019: 1339</w:t>
      </w:r>
      <w:r w:rsidR="00D27A69">
        <w:rPr>
          <w:rFonts w:ascii="Times New Roman" w:hAnsi="Times New Roman" w:cs="Times New Roman"/>
        </w:rPr>
        <w:t xml:space="preserve"> (internal citations omitted)</w:t>
      </w:r>
      <w:r w:rsidRPr="0094261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690"/>
    <w:multiLevelType w:val="hybridMultilevel"/>
    <w:tmpl w:val="CC404D88"/>
    <w:lvl w:ilvl="0" w:tplc="A992D1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7468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A67B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9C0F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E07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8CB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2BA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F06A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1AF7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BD42CED"/>
    <w:multiLevelType w:val="hybridMultilevel"/>
    <w:tmpl w:val="5C0810A0"/>
    <w:lvl w:ilvl="0" w:tplc="37065F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8842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3A03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C466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6077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949B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F670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DE95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DC5A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D9"/>
    <w:rsid w:val="00083B5D"/>
    <w:rsid w:val="00103376"/>
    <w:rsid w:val="001D7F64"/>
    <w:rsid w:val="00204912"/>
    <w:rsid w:val="0035689E"/>
    <w:rsid w:val="00395156"/>
    <w:rsid w:val="003B0DB8"/>
    <w:rsid w:val="00415D05"/>
    <w:rsid w:val="00420C68"/>
    <w:rsid w:val="005147F0"/>
    <w:rsid w:val="005867D9"/>
    <w:rsid w:val="006637BE"/>
    <w:rsid w:val="006E7D2C"/>
    <w:rsid w:val="007616D9"/>
    <w:rsid w:val="007A378E"/>
    <w:rsid w:val="007E4C97"/>
    <w:rsid w:val="00837A1F"/>
    <w:rsid w:val="00866DB3"/>
    <w:rsid w:val="00875E41"/>
    <w:rsid w:val="008A090A"/>
    <w:rsid w:val="0094261C"/>
    <w:rsid w:val="00AB1E31"/>
    <w:rsid w:val="00AC7E01"/>
    <w:rsid w:val="00BA608C"/>
    <w:rsid w:val="00BB5A96"/>
    <w:rsid w:val="00BC753B"/>
    <w:rsid w:val="00BD1193"/>
    <w:rsid w:val="00BE24FB"/>
    <w:rsid w:val="00CC7949"/>
    <w:rsid w:val="00D27A69"/>
    <w:rsid w:val="00D54993"/>
    <w:rsid w:val="00D65B2B"/>
    <w:rsid w:val="00D82B18"/>
    <w:rsid w:val="00DA5AB0"/>
    <w:rsid w:val="00DE041A"/>
    <w:rsid w:val="00E114D8"/>
    <w:rsid w:val="00E60CF2"/>
    <w:rsid w:val="00E80F49"/>
    <w:rsid w:val="00E91DD3"/>
    <w:rsid w:val="00ED60FD"/>
    <w:rsid w:val="00F16943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7097"/>
  <w15:chartTrackingRefBased/>
  <w15:docId w15:val="{3430F18A-5197-476F-9DB2-0EC0DE9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61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6D9"/>
    <w:rPr>
      <w:vertAlign w:val="superscript"/>
    </w:rPr>
  </w:style>
  <w:style w:type="character" w:styleId="Hyperlink">
    <w:name w:val="Hyperlink"/>
    <w:basedOn w:val="DefaultParagraphFont"/>
    <w:unhideWhenUsed/>
    <w:rsid w:val="00761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ore.samhsa.gov/sites/default/files/SAMHSA_Digital_Download/PEP21-02-01-002.pdf" TargetMode="External"/><Relationship Id="rId1" Type="http://schemas.openxmlformats.org/officeDocument/2006/relationships/hyperlink" Target="https://www.cdc.gov/media/releases/2019/s0424-advises-misapplication-guideline-prescribing-opio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4932-1B85-4305-B1E5-598835E7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Magwire</dc:creator>
  <cp:keywords/>
  <dc:description/>
  <cp:lastModifiedBy>Aaron Newcomb, DO</cp:lastModifiedBy>
  <cp:revision>2</cp:revision>
  <dcterms:created xsi:type="dcterms:W3CDTF">2022-05-04T18:06:00Z</dcterms:created>
  <dcterms:modified xsi:type="dcterms:W3CDTF">2022-05-04T18:06:00Z</dcterms:modified>
</cp:coreProperties>
</file>